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white"/>
          <w:vertAlign w:val="baseline"/>
        </w:rPr>
        <w:drawing>
          <wp:inline distB="0" distT="0" distL="114300" distR="114300">
            <wp:extent cx="1076325" cy="10845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4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color w:val="303030"/>
          <w:sz w:val="32"/>
          <w:szCs w:val="32"/>
          <w:highlight w:val="white"/>
          <w:vertAlign w:val="baseline"/>
        </w:rPr>
      </w:pPr>
      <w:r w:rsidDel="00000000" w:rsidR="00000000" w:rsidRPr="00000000">
        <w:rPr>
          <w:b w:val="1"/>
          <w:sz w:val="32"/>
          <w:szCs w:val="32"/>
          <w:highlight w:val="white"/>
          <w:vertAlign w:val="baseline"/>
          <w:rtl w:val="0"/>
        </w:rPr>
        <w:t xml:space="preserve">RECOMENDACIONES ANTE LA PANDEMIA DE CORONAVIRUS</w:t>
      </w:r>
      <w:r w:rsidDel="00000000" w:rsidR="00000000" w:rsidRPr="00000000">
        <w:rPr>
          <w:color w:val="303030"/>
          <w:sz w:val="32"/>
          <w:szCs w:val="32"/>
          <w:highlight w:val="whit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color w:val="30303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1) Según la Organización Mundial de la Salud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(OMS),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los síntomas más frecuentes del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coronavirus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son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fiebre, tos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dolor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garganta.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En algunos casos puede provocar dificultades respiratorias y neumonía. </w:t>
      </w:r>
    </w:p>
    <w:p w:rsidR="00000000" w:rsidDel="00000000" w:rsidP="00000000" w:rsidRDefault="00000000" w:rsidRPr="00000000" w14:paraId="00000005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2) Ante cualquier síntoma se debe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llamar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al teléfono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Emergencias: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 nivel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nacional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se debe llamar al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0800-222-1002;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en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Ciudad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Buenos Aires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107;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en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provincia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Buenos Aires al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148.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En cualquier caso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no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se debe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concurrir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guardia,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ya que se podría contagiar a otras personas.</w:t>
      </w:r>
    </w:p>
    <w:p w:rsidR="00000000" w:rsidDel="00000000" w:rsidP="00000000" w:rsidRDefault="00000000" w:rsidRPr="00000000" w14:paraId="00000006">
      <w:pPr>
        <w:jc w:val="both"/>
        <w:rPr>
          <w:b w:val="1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3) 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coronavirus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– cuyo nombre técnico es Covid-19 – puede afectar 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cualquier persona,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aunque 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riesgo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contagio aumenta en las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personas mayores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60 años.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Por eso, el gobierno dispuso una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licencia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 partir de esa edad con el objetivo de que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limiten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circulación.</w:t>
      </w:r>
    </w:p>
    <w:p w:rsidR="00000000" w:rsidDel="00000000" w:rsidP="00000000" w:rsidRDefault="00000000" w:rsidRPr="00000000" w14:paraId="00000007">
      <w:pPr>
        <w:jc w:val="both"/>
        <w:rPr>
          <w:b w:val="1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4) La recomendación central, tanto de la OMS como del Ministerio de Salud de la Nación, es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lavarse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las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manos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con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agua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jabón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con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frecuencia.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Debe ser un lavado sistemático, reiterado y prolongado por entre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30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40 segundos.</w:t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5) En caso de no poder lavarse las manos con frecuencia,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se aconseja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el uso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alcohol en gel.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6)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OMS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Ministerio de Salud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aconsejan utilizar el “código de estornudo”: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toser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estornudar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sobre 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pliegue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codo,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o sobre un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pañuelo descartable,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no sobre las manos. De ese modo, se evita la propagación del virus. </w:t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7) Se debe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evitar llevar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las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manos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cara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limitar el contacto con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nariz,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la boca y los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ojos.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8) La OMS y el Ministerio de Salud aconsejan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mantener higienizados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los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ambientes,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tanto en hogares como en espacios de trabajo. Se recomienda limpiar con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agua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lavandina,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especialmente las zonas de contacto directo. En el caso de los dispositivos electrónicos, se recomienda la limpieza con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alcohol en gel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para desinfectar. </w:t>
      </w:r>
    </w:p>
    <w:p w:rsidR="00000000" w:rsidDel="00000000" w:rsidP="00000000" w:rsidRDefault="00000000" w:rsidRPr="00000000" w14:paraId="0000000C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9) Se considera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“pacientes de riesgo”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 quienes padecen patologías como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hipertensión,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enfermedades cardíacas, enfermedades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pulmonares,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cáncer y diabetes. En esos casos, se deben extremar aún más los cuidados y evitar la asistencia a lugares de alta concentración de personas. </w:t>
      </w:r>
    </w:p>
    <w:p w:rsidR="00000000" w:rsidDel="00000000" w:rsidP="00000000" w:rsidRDefault="00000000" w:rsidRPr="00000000" w14:paraId="0000000D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10)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No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se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recomienda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el uso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barbijo,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 excepción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pacientes inmunosuprimidos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o quienes presentan síntomas de infección respiratoria. También personas que fueron diagnosticadas con coronavirus y deben permanecer en aislamiento. En cualquier caso se recomienda lavarse las manos antes de colocarlo, evitar tocarlo y retirarlo cuando se encuentre húmedo. </w:t>
      </w:r>
    </w:p>
    <w:p w:rsidR="00000000" w:rsidDel="00000000" w:rsidP="00000000" w:rsidRDefault="00000000" w:rsidRPr="00000000" w14:paraId="0000000E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11) Quienes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arriben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Argentina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provenientes de países que integran las zonas de riesgo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(China,  Japón, Corea del Sur, Estados Unidos,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Irán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,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Unión Europea, Brasil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Chile)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deberán permanecer en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cuarentena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durante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14 días.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Está prohibido y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penado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por ley 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incumplimiento,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ya que se puede considerar un ataque a la salud pública. </w:t>
      </w:r>
    </w:p>
    <w:p w:rsidR="00000000" w:rsidDel="00000000" w:rsidP="00000000" w:rsidRDefault="00000000" w:rsidRPr="00000000" w14:paraId="0000000F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12) Las medidas de aislamiento y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cuarentena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son debido a que, según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OMS,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el virus puede ser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asintomático hasta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día 14,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aunque se estima que los síntomas suelen sentirse entre el quinto y el sexto día de contagio. </w:t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13) En cualquier caso, la OMS y el Ministerio de Salud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desaconsejan la automedicación.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14) Para las personas que integren los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grupos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riesgo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– mayores de 60 y enfermos crónicos – se aconseja recibir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vacuna antigripal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el esquema secuencial contra 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neumococo.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15) También se recomienda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postergación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cualquier tipo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viaje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 las zonas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riesgo.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16) En el caso de las personas mayores que residen en instituciones o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geriátricos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la recomendación oficial es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evitar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las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visitas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 personas con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dificultades respiratorias.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Quienes estuvieron en países que integran las zonas de alto contagio tampoco podrán asistir a esas visitas. </w:t>
      </w:r>
    </w:p>
    <w:p w:rsidR="00000000" w:rsidDel="00000000" w:rsidP="00000000" w:rsidRDefault="00000000" w:rsidRPr="00000000" w14:paraId="00000014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17) Quienes ingresen al país tras haber estado en una zona afectada deberán prestar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información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 las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autoridades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sobre su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itinerario,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así como declarar su domicilio en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Argentina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someterse a la toma de la temperatura, con el objetivo de determinar si existe un potencial riesgo.</w:t>
      </w:r>
    </w:p>
    <w:p w:rsidR="00000000" w:rsidDel="00000000" w:rsidP="00000000" w:rsidRDefault="00000000" w:rsidRPr="00000000" w14:paraId="00000015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18) Los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trabajadores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trabajadoras del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Estado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que hubieran visitado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zonas afectadas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que deban cumplir con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cuarentena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por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14 días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tendrán una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licencia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con goce de sueldo para cumplir el aislamiento obligatorio establecido por el Ministerio de Salud. Quienes no integren ese grupo, pero tengan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hijos o hijas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en edad escolar, podrán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ausentarse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sus empleos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hasta el 31 de marzo.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19) Al cierre de esta edición, había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56 casos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coronavirus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confirmados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por el Ministerio de Salud. Se trata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casos “importados”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o de contactos “estrechos”. Según informaron las autoridades, hasta el momento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no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había casos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“autóctonos”,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es decir: personas que se hayan contagiado sin haber estado en zonas de riesgo ni haber tenido contacto con personas que hayan estado.</w:t>
      </w:r>
    </w:p>
    <w:p w:rsidR="00000000" w:rsidDel="00000000" w:rsidP="00000000" w:rsidRDefault="00000000" w:rsidRPr="00000000" w14:paraId="00000017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20) De los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 casos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con coronavirus,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la mayoria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son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hombres.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edad promedio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contagio es a los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44 años,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aunque hay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personas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mayores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60 años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que se encuentran diagnosticadas con la enfermedad.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mayoría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los casos se concentran en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Ciudad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y 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Gran Buenos Aires.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color w:val="303030"/>
          <w:sz w:val="26"/>
          <w:szCs w:val="26"/>
          <w:highlight w:val="white"/>
          <w:vertAlign w:val="baseline"/>
        </w:rPr>
      </w:pP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21) Las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medidas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impulsadas por 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gobierno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tienen el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objetivo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contener,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detectar y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prevenir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casos sospechosos, además de dar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tranquilidad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en momentos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angustia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colectiva. Por eso, la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Argentina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se encuentra en estado de </w:t>
      </w:r>
      <w:r w:rsidDel="00000000" w:rsidR="00000000" w:rsidRPr="00000000">
        <w:rPr>
          <w:b w:val="1"/>
          <w:sz w:val="26"/>
          <w:szCs w:val="26"/>
          <w:highlight w:val="white"/>
          <w:vertAlign w:val="baseline"/>
          <w:rtl w:val="0"/>
        </w:rPr>
        <w:t xml:space="preserve">alerta</w:t>
      </w:r>
      <w:r w:rsidDel="00000000" w:rsidR="00000000" w:rsidRPr="00000000">
        <w:rPr>
          <w:color w:val="303030"/>
          <w:sz w:val="26"/>
          <w:szCs w:val="26"/>
          <w:highlight w:val="white"/>
          <w:vertAlign w:val="baseline"/>
          <w:rtl w:val="0"/>
        </w:rPr>
        <w:t xml:space="preserve"> para sensibilizar la vigilancia epidemiológica y brindar una respuesta integrada y oportuna.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